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4CA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处置约8万吨建筑装修陈腐垃圾</w:t>
      </w:r>
      <w:r>
        <w:rPr>
          <w:rFonts w:hint="eastAsia"/>
          <w:b/>
          <w:bCs/>
          <w:sz w:val="36"/>
          <w:szCs w:val="36"/>
          <w:lang w:val="en-US" w:eastAsia="zh-CN"/>
        </w:rPr>
        <w:t>招标采购需求</w:t>
      </w:r>
    </w:p>
    <w:p w14:paraId="44F3A70F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C5B9BFF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处置陈腐垃圾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日产日清，当日对分拣后建筑陈腐垃圾当日做好场内上力转运平整压实等工序，</w:t>
      </w:r>
      <w:r>
        <w:rPr>
          <w:rFonts w:hint="eastAsia"/>
          <w:b/>
          <w:bCs/>
          <w:sz w:val="32"/>
          <w:szCs w:val="32"/>
          <w:lang w:val="en-US" w:eastAsia="zh-CN"/>
        </w:rPr>
        <w:t>最迟要在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2025年6月15日前完成；</w:t>
      </w:r>
    </w:p>
    <w:p w14:paraId="2CF583D5">
      <w:pPr>
        <w:numPr>
          <w:ilvl w:val="0"/>
          <w:numId w:val="0"/>
        </w:numPr>
        <w:jc w:val="both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运输轻物质车辆和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场内转运车辆按指定路线不得抛洒滴漏；发生交通违法行为自行处理。</w:t>
      </w:r>
    </w:p>
    <w:p w14:paraId="0665DD4C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三、压实后场地要符合水泥地坪垫层要求</w:t>
      </w:r>
      <w:r>
        <w:rPr>
          <w:rFonts w:hint="eastAsia"/>
          <w:b/>
          <w:bCs/>
          <w:sz w:val="32"/>
          <w:szCs w:val="32"/>
          <w:lang w:val="en-US" w:eastAsia="zh-CN"/>
        </w:rPr>
        <w:t>；</w:t>
      </w:r>
    </w:p>
    <w:p w14:paraId="5FC7B2F5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四、负责有关日常运营中的安全生产；</w:t>
      </w:r>
    </w:p>
    <w:p w14:paraId="45F337E5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五、认可场地内堆放的装修垃圾品质及数量；</w:t>
      </w:r>
    </w:p>
    <w:p w14:paraId="5608C2D1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六、负责原料打堆、翻晒、分拣、运输、上下力、平整、压实、产品分类堆放、建筑装修垃圾堆场及作业区域卫生符合检查要求，原料、成品等防尘覆盖符合环保检查要求，场地卫生等工序包含的所有工作内容以及辅助性工作等所有费用，并保证符合行政管理部门和当地政府要求</w:t>
      </w:r>
      <w:r>
        <w:rPr>
          <w:rFonts w:hint="eastAsia"/>
          <w:b/>
          <w:bCs/>
          <w:sz w:val="32"/>
          <w:szCs w:val="32"/>
          <w:lang w:val="en-US" w:eastAsia="zh-CN"/>
        </w:rPr>
        <w:t>。</w:t>
      </w:r>
    </w:p>
    <w:p w14:paraId="6B4C31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7C427"/>
    <w:multiLevelType w:val="singleLevel"/>
    <w:tmpl w:val="C657C4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B1C78"/>
    <w:rsid w:val="411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2025-02-25T09:32:00Z</dcterms:created>
  <dc:creator>高高</dc:creator>
  <cp:lastModifiedBy>高高</cp:lastModifiedBy>
  <dcterms:modified xsi:type="dcterms:W3CDTF">2025-02-25T09:33:00Z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8579E59BCAE545A99B8DD9A92961996B_11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