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A4CA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cs="Times New Roman"/>
          <w:b/>
          <w:bCs/>
          <w:sz w:val="36"/>
          <w:szCs w:val="36"/>
          <w:lang w:val="en-US" w:eastAsia="zh-CN"/>
        </w:rPr>
        <w:t>处置约8万吨建筑装修陈腐垃圾</w:t>
      </w:r>
      <w:r>
        <w:rPr>
          <w:rFonts w:hint="eastAsia"/>
          <w:b/>
          <w:bCs/>
          <w:sz w:val="36"/>
          <w:szCs w:val="36"/>
          <w:lang w:val="en-US" w:eastAsia="zh-CN"/>
        </w:rPr>
        <w:t>招标采购需求</w:t>
      </w:r>
    </w:p>
    <w:p w14:paraId="44F3A70F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1C5B9BFF"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处置陈腐垃圾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日产日清，当日对分拣后建筑陈腐垃圾当日做好场内上力转运平整压实等工序，</w:t>
      </w:r>
      <w:r>
        <w:rPr>
          <w:rFonts w:hint="eastAsia"/>
          <w:b/>
          <w:bCs/>
          <w:sz w:val="32"/>
          <w:szCs w:val="32"/>
          <w:lang w:val="en-US" w:eastAsia="zh-CN"/>
        </w:rPr>
        <w:t>最迟要在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2025年6月15日前完成；</w:t>
      </w:r>
    </w:p>
    <w:p w14:paraId="2CF583D5">
      <w:pPr>
        <w:numPr>
          <w:ilvl w:val="0"/>
          <w:numId w:val="0"/>
        </w:numPr>
        <w:jc w:val="both"/>
        <w:rPr>
          <w:rFonts w:hint="default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eastAsia"/>
          <w:b/>
          <w:bCs/>
          <w:sz w:val="32"/>
          <w:szCs w:val="32"/>
          <w:lang w:val="en-US" w:eastAsia="zh-CN"/>
        </w:rPr>
        <w:t>运输轻物质车辆和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场内转运车辆按指定路线不得抛洒滴漏；发生交通违法行为自行处理。</w:t>
      </w:r>
    </w:p>
    <w:p w14:paraId="0665DD4C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三、压实后场地要符合水泥地坪垫层要求</w:t>
      </w:r>
      <w:r>
        <w:rPr>
          <w:rFonts w:hint="eastAsia"/>
          <w:b/>
          <w:bCs/>
          <w:sz w:val="32"/>
          <w:szCs w:val="32"/>
          <w:lang w:val="en-US" w:eastAsia="zh-CN"/>
        </w:rPr>
        <w:t>；</w:t>
      </w:r>
    </w:p>
    <w:p w14:paraId="5FC7B2F5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四、负责有关日常运营中的安全生产；</w:t>
      </w:r>
    </w:p>
    <w:p w14:paraId="45F337E5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五、认可场地内堆放的装修垃圾品质及数量；</w:t>
      </w:r>
    </w:p>
    <w:p w14:paraId="5608C2D1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六、负责原料打堆、翻晒、分拣、运输、上下力、平整、压实、产品分类堆放、建筑装修垃圾堆场及作业区域卫生符合检查要求，原料、成品等防尘覆盖符合环保检查要求，场地卫生等工序包含的所有工作内容以及辅助性工作等所有费用，并保证符合行政管理部门和当地政府要求</w:t>
      </w:r>
      <w:r>
        <w:rPr>
          <w:rFonts w:hint="eastAsia"/>
          <w:b/>
          <w:bCs/>
          <w:sz w:val="32"/>
          <w:szCs w:val="32"/>
          <w:lang w:val="en-US" w:eastAsia="zh-CN"/>
        </w:rPr>
        <w:t>。</w:t>
      </w:r>
    </w:p>
    <w:p w14:paraId="6B4C31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7C427"/>
    <w:multiLevelType w:val="singleLevel"/>
    <w:tmpl w:val="C657C4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B1C78"/>
    <w:rsid w:val="411B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2025-02-25T09:32:00Z</dcterms:created>
  <dc:creator>高高</dc:creator>
  <cp:lastModifiedBy>高高</cp:lastModifiedBy>
  <dcterms:modified xsi:type="dcterms:W3CDTF">2025-02-25T09:33:00Z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8579E59BCAE545A99B8DD9A92961996B_11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